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F01E3" w:rsidRDefault="00FF01E3" w:rsidP="009E785D">
      <w:pPr>
        <w:spacing w:after="0" w:line="480" w:lineRule="auto"/>
        <w:ind w:firstLine="720"/>
        <w:rPr>
          <w:rFonts w:ascii="Times New Roman" w:hAnsi="Times New Roman" w:cs="Times New Roman"/>
          <w:sz w:val="24"/>
          <w:szCs w:val="24"/>
        </w:rPr>
      </w:pPr>
    </w:p>
    <w:p w:rsidR="00175681" w:rsidRDefault="00175681" w:rsidP="009E785D">
      <w:pPr>
        <w:spacing w:after="0" w:line="480" w:lineRule="auto"/>
        <w:jc w:val="center"/>
        <w:rPr>
          <w:rFonts w:ascii="Times New Roman" w:hAnsi="Times New Roman" w:cs="Times New Roman"/>
          <w:sz w:val="24"/>
          <w:szCs w:val="24"/>
        </w:rPr>
      </w:pPr>
    </w:p>
    <w:p w:rsidR="00175681" w:rsidRDefault="00175681" w:rsidP="009E785D">
      <w:pPr>
        <w:spacing w:after="0" w:line="480" w:lineRule="auto"/>
        <w:jc w:val="center"/>
        <w:rPr>
          <w:rFonts w:ascii="Times New Roman" w:hAnsi="Times New Roman" w:cs="Times New Roman"/>
          <w:sz w:val="24"/>
          <w:szCs w:val="24"/>
        </w:rPr>
      </w:pPr>
    </w:p>
    <w:p w:rsidR="00175681" w:rsidRDefault="00175681" w:rsidP="009E785D">
      <w:pPr>
        <w:spacing w:after="0" w:line="480" w:lineRule="auto"/>
        <w:jc w:val="center"/>
        <w:rPr>
          <w:rFonts w:ascii="Times New Roman" w:hAnsi="Times New Roman" w:cs="Times New Roman"/>
          <w:sz w:val="24"/>
          <w:szCs w:val="24"/>
        </w:rPr>
      </w:pPr>
    </w:p>
    <w:p w:rsidR="00175681" w:rsidRDefault="00175681" w:rsidP="009E785D">
      <w:pPr>
        <w:spacing w:after="0" w:line="480" w:lineRule="auto"/>
        <w:jc w:val="center"/>
        <w:rPr>
          <w:rFonts w:ascii="Times New Roman" w:hAnsi="Times New Roman" w:cs="Times New Roman"/>
          <w:sz w:val="24"/>
          <w:szCs w:val="24"/>
        </w:rPr>
      </w:pPr>
    </w:p>
    <w:p w:rsidR="00175681" w:rsidRDefault="00175681" w:rsidP="009E785D">
      <w:pPr>
        <w:spacing w:after="0" w:line="480" w:lineRule="auto"/>
        <w:jc w:val="center"/>
        <w:rPr>
          <w:rFonts w:ascii="Times New Roman" w:hAnsi="Times New Roman" w:cs="Times New Roman"/>
          <w:sz w:val="24"/>
          <w:szCs w:val="24"/>
        </w:rPr>
      </w:pPr>
    </w:p>
    <w:p w:rsidR="00175681" w:rsidRDefault="00175681" w:rsidP="009E785D">
      <w:pPr>
        <w:spacing w:after="0" w:line="480" w:lineRule="auto"/>
        <w:jc w:val="center"/>
        <w:rPr>
          <w:rFonts w:ascii="Times New Roman" w:hAnsi="Times New Roman" w:cs="Times New Roman"/>
          <w:sz w:val="24"/>
          <w:szCs w:val="24"/>
        </w:rPr>
      </w:pPr>
    </w:p>
    <w:p w:rsidR="00175681" w:rsidRDefault="00175681" w:rsidP="009E785D">
      <w:pPr>
        <w:spacing w:after="0" w:line="480" w:lineRule="auto"/>
        <w:jc w:val="center"/>
        <w:rPr>
          <w:rFonts w:ascii="Times New Roman" w:hAnsi="Times New Roman" w:cs="Times New Roman"/>
          <w:sz w:val="24"/>
          <w:szCs w:val="24"/>
        </w:rPr>
      </w:pPr>
    </w:p>
    <w:p w:rsidR="00175681" w:rsidRDefault="00175681" w:rsidP="009E785D">
      <w:pPr>
        <w:spacing w:after="0" w:line="480" w:lineRule="auto"/>
        <w:jc w:val="center"/>
        <w:rPr>
          <w:rFonts w:ascii="Times New Roman" w:hAnsi="Times New Roman" w:cs="Times New Roman"/>
          <w:sz w:val="24"/>
          <w:szCs w:val="24"/>
        </w:rPr>
      </w:pPr>
    </w:p>
    <w:p w:rsidR="00175681" w:rsidRDefault="00175681" w:rsidP="009E785D">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Criminal Justice Agencies and Transgender</w:t>
      </w:r>
    </w:p>
    <w:p w:rsidR="00175681" w:rsidRDefault="00175681" w:rsidP="009E785D">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175681" w:rsidRDefault="00175681" w:rsidP="009E785D">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175681" w:rsidRDefault="00175681" w:rsidP="009E785D">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FF01E3" w:rsidRDefault="00FF01E3" w:rsidP="009E785D">
      <w:pPr>
        <w:spacing w:after="0"/>
        <w:rPr>
          <w:rFonts w:ascii="Times New Roman" w:hAnsi="Times New Roman" w:cs="Times New Roman"/>
          <w:sz w:val="24"/>
          <w:szCs w:val="24"/>
        </w:rPr>
      </w:pPr>
      <w:r>
        <w:rPr>
          <w:rFonts w:ascii="Times New Roman" w:hAnsi="Times New Roman" w:cs="Times New Roman"/>
          <w:sz w:val="24"/>
          <w:szCs w:val="24"/>
        </w:rPr>
        <w:br w:type="page"/>
      </w:r>
    </w:p>
    <w:p w:rsidR="009E785D" w:rsidRDefault="009E785D" w:rsidP="009E785D">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Criminal Justice Agencies and Transgender</w:t>
      </w:r>
    </w:p>
    <w:p w:rsidR="004945A3" w:rsidRPr="008907FE" w:rsidRDefault="004945A3" w:rsidP="009E785D">
      <w:pPr>
        <w:spacing w:after="0" w:line="480" w:lineRule="auto"/>
        <w:ind w:firstLine="720"/>
        <w:rPr>
          <w:rFonts w:ascii="Times New Roman" w:hAnsi="Times New Roman" w:cs="Times New Roman"/>
          <w:sz w:val="24"/>
          <w:szCs w:val="24"/>
        </w:rPr>
      </w:pPr>
      <w:r w:rsidRPr="008907FE">
        <w:rPr>
          <w:rFonts w:ascii="Times New Roman" w:hAnsi="Times New Roman" w:cs="Times New Roman"/>
          <w:sz w:val="24"/>
          <w:szCs w:val="24"/>
        </w:rPr>
        <w:t>Criminal justice agency is a system that governments establish to control crime as well as impose penalties on people who violate laws. How they work in each area is determined by the in charge jurisdiction, which includes city, state, county, or military installation or tribal government. Divers jurisdictions have dissimilar laws, agencies, as well as the ways of managing the process of criminal justice. Transgender is a term that describes individuals whose gender expression or identity does not match with the femininity the</w:t>
      </w:r>
      <w:r w:rsidR="009E785D">
        <w:rPr>
          <w:rFonts w:ascii="Times New Roman" w:hAnsi="Times New Roman" w:cs="Times New Roman"/>
          <w:sz w:val="24"/>
          <w:szCs w:val="24"/>
        </w:rPr>
        <w:t>y were consigned at birth. For</w:t>
      </w:r>
      <w:r w:rsidRPr="008907FE">
        <w:rPr>
          <w:rFonts w:ascii="Times New Roman" w:hAnsi="Times New Roman" w:cs="Times New Roman"/>
          <w:sz w:val="24"/>
          <w:szCs w:val="24"/>
        </w:rPr>
        <w:t xml:space="preserve"> instant, a transgender individual may be identified as a male despite being born with female genitalia. Criminal justice agencies should identify some considerations as they deal with such people</w:t>
      </w:r>
      <w:r w:rsidR="006E1711">
        <w:rPr>
          <w:rFonts w:ascii="Times New Roman" w:hAnsi="Times New Roman" w:cs="Times New Roman"/>
          <w:sz w:val="24"/>
          <w:szCs w:val="24"/>
        </w:rPr>
        <w:t xml:space="preserve"> (</w:t>
      </w:r>
      <w:r w:rsidR="006E1711">
        <w:rPr>
          <w:rFonts w:ascii="Times New Roman" w:hAnsi="Times New Roman" w:cs="Times New Roman"/>
          <w:color w:val="222222"/>
          <w:sz w:val="24"/>
          <w:szCs w:val="24"/>
          <w:shd w:val="clear" w:color="auto" w:fill="FFFFFF"/>
        </w:rPr>
        <w:t>Harawa, Amani, Bowers, Sayles</w:t>
      </w:r>
      <w:r w:rsidR="006E1711" w:rsidRPr="008907FE">
        <w:rPr>
          <w:rFonts w:ascii="Times New Roman" w:hAnsi="Times New Roman" w:cs="Times New Roman"/>
          <w:color w:val="222222"/>
          <w:sz w:val="24"/>
          <w:szCs w:val="24"/>
          <w:shd w:val="clear" w:color="auto" w:fill="FFFFFF"/>
        </w:rPr>
        <w:t xml:space="preserve"> &amp; </w:t>
      </w:r>
      <w:r w:rsidR="006E1711">
        <w:rPr>
          <w:rFonts w:ascii="Times New Roman" w:hAnsi="Times New Roman" w:cs="Times New Roman"/>
          <w:color w:val="222222"/>
          <w:sz w:val="24"/>
          <w:szCs w:val="24"/>
          <w:shd w:val="clear" w:color="auto" w:fill="FFFFFF"/>
        </w:rPr>
        <w:t xml:space="preserve">Cunningham, </w:t>
      </w:r>
      <w:r w:rsidR="006E1711" w:rsidRPr="008907FE">
        <w:rPr>
          <w:rFonts w:ascii="Times New Roman" w:hAnsi="Times New Roman" w:cs="Times New Roman"/>
          <w:color w:val="222222"/>
          <w:sz w:val="24"/>
          <w:szCs w:val="24"/>
          <w:shd w:val="clear" w:color="auto" w:fill="FFFFFF"/>
        </w:rPr>
        <w:t>2017</w:t>
      </w:r>
      <w:r w:rsidR="006E1711">
        <w:rPr>
          <w:rFonts w:ascii="Times New Roman" w:hAnsi="Times New Roman" w:cs="Times New Roman"/>
          <w:sz w:val="24"/>
          <w:szCs w:val="24"/>
        </w:rPr>
        <w:t>)</w:t>
      </w:r>
      <w:r w:rsidRPr="008907FE">
        <w:rPr>
          <w:rFonts w:ascii="Times New Roman" w:hAnsi="Times New Roman" w:cs="Times New Roman"/>
          <w:sz w:val="24"/>
          <w:szCs w:val="24"/>
        </w:rPr>
        <w:t xml:space="preserve">. </w:t>
      </w:r>
      <w:r w:rsidR="009E785D">
        <w:rPr>
          <w:rFonts w:ascii="Times New Roman" w:hAnsi="Times New Roman" w:cs="Times New Roman"/>
          <w:sz w:val="24"/>
          <w:szCs w:val="24"/>
        </w:rPr>
        <w:t>This paper will focus on things considered by criminal justice agency when dealing with transgender issues. They include;</w:t>
      </w:r>
    </w:p>
    <w:p w:rsidR="004945A3" w:rsidRPr="008907FE" w:rsidRDefault="004945A3" w:rsidP="009E785D">
      <w:pPr>
        <w:spacing w:after="0" w:line="480" w:lineRule="auto"/>
        <w:ind w:firstLine="720"/>
        <w:rPr>
          <w:rFonts w:ascii="Times New Roman" w:hAnsi="Times New Roman" w:cs="Times New Roman"/>
          <w:sz w:val="24"/>
          <w:szCs w:val="24"/>
        </w:rPr>
      </w:pPr>
      <w:r w:rsidRPr="008907FE">
        <w:rPr>
          <w:rFonts w:ascii="Times New Roman" w:hAnsi="Times New Roman" w:cs="Times New Roman"/>
          <w:sz w:val="24"/>
          <w:szCs w:val="24"/>
        </w:rPr>
        <w:t xml:space="preserve"> Equality- many transgender people face discrimination in several areas of life. They experience incredibly elevated discrimination rates in housing, employment, as well as health care. Barriers to housing and jobs can lead to increased homelessness and economic insecurity. Discrimination in employment as well as harassment results to negative feedback for transgender. Criminal justice agencies should consider this issue and ensure they enjoy their rights entirely just like any other person. Several transgender people may engage themselves in underground economies for example like trading sex or selling drugs to get money or shelter due to lack of employment. Some agencies, which are helpful to transgender people, may also sometimes discriminate these people, which is against the law. Sometimes, they are denied the right to access medical services, especially in the United States. As a result, many of them purchase medical services from unlicensed medical givers, whereby, this puts their physical condition at risk as well as increasing their probability of being arrested. </w:t>
      </w:r>
    </w:p>
    <w:p w:rsidR="004945A3" w:rsidRPr="008907FE" w:rsidRDefault="004945A3" w:rsidP="009E785D">
      <w:pPr>
        <w:spacing w:after="0" w:line="480" w:lineRule="auto"/>
        <w:ind w:firstLine="720"/>
        <w:rPr>
          <w:rFonts w:ascii="Times New Roman" w:hAnsi="Times New Roman" w:cs="Times New Roman"/>
          <w:sz w:val="24"/>
          <w:szCs w:val="24"/>
        </w:rPr>
      </w:pPr>
      <w:r w:rsidRPr="008907FE">
        <w:rPr>
          <w:rFonts w:ascii="Times New Roman" w:hAnsi="Times New Roman" w:cs="Times New Roman"/>
          <w:sz w:val="24"/>
          <w:szCs w:val="24"/>
        </w:rPr>
        <w:t>Secondly, criminal justice agencies should consider respecting transgender individuals by use of the pronouns and names they use in their day-to-day life. Other people, regardless of their gender maker or legal name on the identification document, should also use the pronouns as well as proper names the transgender use. Unfortunately, during reporting on aggression against transgender individuals, some media channels will mistreat transgender victims, showing them no respect to their identities, causing sting to an already inconsolable local transgender community, as well as reinforcing the dishonor at the midpoint of the violence. This may as well be the case in the statements made by local officials or law enforcement agencies. Many transgender people use the singular “their” or “them” rather than “he” or “she” besides supplementary pronouns. If the individual employs a name unlike from the one that was assigned to him or her at birth, desists from publishing or repeating that name devoid of their explicit consent</w:t>
      </w:r>
      <w:r w:rsidR="006E1711">
        <w:rPr>
          <w:rFonts w:ascii="Times New Roman" w:hAnsi="Times New Roman" w:cs="Times New Roman"/>
          <w:sz w:val="24"/>
          <w:szCs w:val="24"/>
        </w:rPr>
        <w:t xml:space="preserve"> (</w:t>
      </w:r>
      <w:r w:rsidR="006E1711" w:rsidRPr="008907FE">
        <w:rPr>
          <w:rFonts w:ascii="Times New Roman" w:hAnsi="Times New Roman" w:cs="Times New Roman"/>
          <w:color w:val="222222"/>
          <w:sz w:val="24"/>
          <w:szCs w:val="24"/>
          <w:shd w:val="clear" w:color="auto" w:fill="FFFFFF"/>
        </w:rPr>
        <w:t>Pound</w:t>
      </w:r>
      <w:r w:rsidR="006E1711">
        <w:rPr>
          <w:rFonts w:ascii="Times New Roman" w:hAnsi="Times New Roman" w:cs="Times New Roman"/>
          <w:color w:val="222222"/>
          <w:sz w:val="24"/>
          <w:szCs w:val="24"/>
          <w:shd w:val="clear" w:color="auto" w:fill="FFFFFF"/>
        </w:rPr>
        <w:t>, 2018</w:t>
      </w:r>
      <w:r w:rsidR="006E1711">
        <w:rPr>
          <w:rFonts w:ascii="Times New Roman" w:hAnsi="Times New Roman" w:cs="Times New Roman"/>
          <w:sz w:val="24"/>
          <w:szCs w:val="24"/>
        </w:rPr>
        <w:t>)</w:t>
      </w:r>
      <w:r w:rsidRPr="008907FE">
        <w:rPr>
          <w:rFonts w:ascii="Times New Roman" w:hAnsi="Times New Roman" w:cs="Times New Roman"/>
          <w:sz w:val="24"/>
          <w:szCs w:val="24"/>
        </w:rPr>
        <w:t>.</w:t>
      </w:r>
    </w:p>
    <w:p w:rsidR="004945A3" w:rsidRPr="008907FE" w:rsidRDefault="004945A3" w:rsidP="009E785D">
      <w:pPr>
        <w:spacing w:after="0" w:line="480" w:lineRule="auto"/>
        <w:ind w:firstLine="720"/>
        <w:rPr>
          <w:rFonts w:ascii="Times New Roman" w:hAnsi="Times New Roman" w:cs="Times New Roman"/>
          <w:sz w:val="24"/>
          <w:szCs w:val="24"/>
        </w:rPr>
      </w:pPr>
      <w:r w:rsidRPr="008907FE">
        <w:rPr>
          <w:rFonts w:ascii="Times New Roman" w:hAnsi="Times New Roman" w:cs="Times New Roman"/>
          <w:sz w:val="24"/>
          <w:szCs w:val="24"/>
        </w:rPr>
        <w:t>Thirdly, it is suitable for criminal justice agencies to consider transgender rights. Every gender has the rights to enjoy in life regardless of sex.  Since they are given many rights just like any other gender, their rights should not be violated. They should enjoy them fully irrespective of where they are. Transgender people most of the time experience negative relations with other people especially officers and this makes them feel that their rights are violated. Some of them never trust police due to harassment as well as the abuse they experience in most cases</w:t>
      </w:r>
      <w:r w:rsidR="00522D05">
        <w:rPr>
          <w:rFonts w:ascii="Times New Roman" w:hAnsi="Times New Roman" w:cs="Times New Roman"/>
          <w:sz w:val="24"/>
          <w:szCs w:val="24"/>
        </w:rPr>
        <w:t xml:space="preserve"> (</w:t>
      </w:r>
      <w:r w:rsidR="00522D05">
        <w:rPr>
          <w:rFonts w:ascii="Times New Roman" w:hAnsi="Times New Roman" w:cs="Times New Roman"/>
          <w:color w:val="222222"/>
          <w:sz w:val="24"/>
          <w:szCs w:val="24"/>
          <w:shd w:val="clear" w:color="auto" w:fill="FFFFFF"/>
        </w:rPr>
        <w:t>Harawa, Amani, Bowers, Sayles</w:t>
      </w:r>
      <w:r w:rsidR="00522D05" w:rsidRPr="008907FE">
        <w:rPr>
          <w:rFonts w:ascii="Times New Roman" w:hAnsi="Times New Roman" w:cs="Times New Roman"/>
          <w:color w:val="222222"/>
          <w:sz w:val="24"/>
          <w:szCs w:val="24"/>
          <w:shd w:val="clear" w:color="auto" w:fill="FFFFFF"/>
        </w:rPr>
        <w:t xml:space="preserve"> &amp; </w:t>
      </w:r>
      <w:r w:rsidR="00522D05">
        <w:rPr>
          <w:rFonts w:ascii="Times New Roman" w:hAnsi="Times New Roman" w:cs="Times New Roman"/>
          <w:color w:val="222222"/>
          <w:sz w:val="24"/>
          <w:szCs w:val="24"/>
          <w:shd w:val="clear" w:color="auto" w:fill="FFFFFF"/>
        </w:rPr>
        <w:t xml:space="preserve">Cunningham, </w:t>
      </w:r>
      <w:r w:rsidR="00522D05" w:rsidRPr="008907FE">
        <w:rPr>
          <w:rFonts w:ascii="Times New Roman" w:hAnsi="Times New Roman" w:cs="Times New Roman"/>
          <w:color w:val="222222"/>
          <w:sz w:val="24"/>
          <w:szCs w:val="24"/>
          <w:shd w:val="clear" w:color="auto" w:fill="FFFFFF"/>
        </w:rPr>
        <w:t>2017</w:t>
      </w:r>
      <w:r w:rsidR="00522D05">
        <w:rPr>
          <w:rFonts w:ascii="Times New Roman" w:hAnsi="Times New Roman" w:cs="Times New Roman"/>
          <w:sz w:val="24"/>
          <w:szCs w:val="24"/>
        </w:rPr>
        <w:t>)</w:t>
      </w:r>
      <w:r w:rsidRPr="008907FE">
        <w:rPr>
          <w:rFonts w:ascii="Times New Roman" w:hAnsi="Times New Roman" w:cs="Times New Roman"/>
          <w:sz w:val="24"/>
          <w:szCs w:val="24"/>
        </w:rPr>
        <w:t xml:space="preserve">.  </w:t>
      </w:r>
    </w:p>
    <w:p w:rsidR="001A5AC3" w:rsidRDefault="004945A3" w:rsidP="009E785D">
      <w:pPr>
        <w:spacing w:after="0" w:line="480" w:lineRule="auto"/>
        <w:ind w:firstLine="720"/>
        <w:rPr>
          <w:rFonts w:ascii="Times New Roman" w:hAnsi="Times New Roman" w:cs="Times New Roman"/>
          <w:sz w:val="24"/>
          <w:szCs w:val="24"/>
        </w:rPr>
      </w:pPr>
      <w:r w:rsidRPr="008907FE">
        <w:rPr>
          <w:rFonts w:ascii="Times New Roman" w:hAnsi="Times New Roman" w:cs="Times New Roman"/>
          <w:sz w:val="24"/>
          <w:szCs w:val="24"/>
        </w:rPr>
        <w:t>In conclusion, criminal justice agencies fail and target transgender people. Pervasive discrimination in almost all areas of existence pushes transgender young adults as well as adults into a state of affairs where they are likely to interact by law enforcement. Bad laws like drug laws, HIV criminalization laws, and harsh laws criminalizing the work of sex, combined with brutality and profiling by law enforcement boost the probability that transgender individuals especially women of color join the system. Many transgender people face discrimination by judges, court staff, inadequate health care, juries and violence, and daily indignities since they are transgender.</w:t>
      </w:r>
    </w:p>
    <w:p w:rsidR="001A5AC3" w:rsidRDefault="001A5AC3" w:rsidP="009E785D">
      <w:pPr>
        <w:spacing w:after="0" w:line="480" w:lineRule="auto"/>
        <w:ind w:firstLine="720"/>
        <w:jc w:val="center"/>
        <w:rPr>
          <w:rFonts w:ascii="Times New Roman" w:hAnsi="Times New Roman" w:cs="Times New Roman"/>
          <w:sz w:val="24"/>
          <w:szCs w:val="24"/>
        </w:rPr>
      </w:pPr>
    </w:p>
    <w:p w:rsidR="001A5AC3" w:rsidRDefault="001A5AC3" w:rsidP="009E785D">
      <w:pPr>
        <w:spacing w:after="0" w:line="480" w:lineRule="auto"/>
        <w:ind w:firstLine="720"/>
        <w:jc w:val="center"/>
        <w:rPr>
          <w:rFonts w:ascii="Times New Roman" w:hAnsi="Times New Roman" w:cs="Times New Roman"/>
          <w:sz w:val="24"/>
          <w:szCs w:val="24"/>
        </w:rPr>
      </w:pPr>
    </w:p>
    <w:p w:rsidR="001A5AC3" w:rsidRDefault="001A5AC3" w:rsidP="009E785D">
      <w:pPr>
        <w:spacing w:after="0" w:line="480" w:lineRule="auto"/>
        <w:ind w:firstLine="720"/>
        <w:jc w:val="center"/>
        <w:rPr>
          <w:rFonts w:ascii="Times New Roman" w:hAnsi="Times New Roman" w:cs="Times New Roman"/>
          <w:sz w:val="24"/>
          <w:szCs w:val="24"/>
        </w:rPr>
      </w:pPr>
    </w:p>
    <w:p w:rsidR="001A5AC3" w:rsidRDefault="001A5AC3" w:rsidP="009E785D">
      <w:pPr>
        <w:spacing w:after="0" w:line="480" w:lineRule="auto"/>
        <w:ind w:firstLine="720"/>
        <w:jc w:val="center"/>
        <w:rPr>
          <w:rFonts w:ascii="Times New Roman" w:hAnsi="Times New Roman" w:cs="Times New Roman"/>
          <w:sz w:val="24"/>
          <w:szCs w:val="24"/>
        </w:rPr>
      </w:pPr>
    </w:p>
    <w:p w:rsidR="001A5AC3" w:rsidRDefault="001A5AC3" w:rsidP="009E785D">
      <w:pPr>
        <w:spacing w:after="0" w:line="480" w:lineRule="auto"/>
        <w:ind w:firstLine="720"/>
        <w:jc w:val="center"/>
        <w:rPr>
          <w:rFonts w:ascii="Times New Roman" w:hAnsi="Times New Roman" w:cs="Times New Roman"/>
          <w:sz w:val="24"/>
          <w:szCs w:val="24"/>
        </w:rPr>
      </w:pPr>
    </w:p>
    <w:p w:rsidR="001A5AC3" w:rsidRDefault="001A5AC3" w:rsidP="009E785D">
      <w:pPr>
        <w:spacing w:after="0" w:line="480" w:lineRule="auto"/>
        <w:ind w:firstLine="720"/>
        <w:jc w:val="center"/>
        <w:rPr>
          <w:rFonts w:ascii="Times New Roman" w:hAnsi="Times New Roman" w:cs="Times New Roman"/>
          <w:sz w:val="24"/>
          <w:szCs w:val="24"/>
        </w:rPr>
      </w:pPr>
    </w:p>
    <w:p w:rsidR="001A5AC3" w:rsidRDefault="001A5AC3" w:rsidP="009E785D">
      <w:pPr>
        <w:spacing w:after="0" w:line="480" w:lineRule="auto"/>
        <w:ind w:firstLine="720"/>
        <w:jc w:val="center"/>
        <w:rPr>
          <w:rFonts w:ascii="Times New Roman" w:hAnsi="Times New Roman" w:cs="Times New Roman"/>
          <w:sz w:val="24"/>
          <w:szCs w:val="24"/>
        </w:rPr>
      </w:pPr>
    </w:p>
    <w:p w:rsidR="001A5AC3" w:rsidRDefault="001A5AC3" w:rsidP="009E785D">
      <w:pPr>
        <w:spacing w:after="0" w:line="480" w:lineRule="auto"/>
        <w:ind w:firstLine="720"/>
        <w:jc w:val="center"/>
        <w:rPr>
          <w:rFonts w:ascii="Times New Roman" w:hAnsi="Times New Roman" w:cs="Times New Roman"/>
          <w:sz w:val="24"/>
          <w:szCs w:val="24"/>
        </w:rPr>
      </w:pPr>
    </w:p>
    <w:p w:rsidR="001A5AC3" w:rsidRDefault="001A5AC3" w:rsidP="009E785D">
      <w:pPr>
        <w:spacing w:after="0" w:line="480" w:lineRule="auto"/>
        <w:ind w:firstLine="720"/>
        <w:jc w:val="center"/>
        <w:rPr>
          <w:rFonts w:ascii="Times New Roman" w:hAnsi="Times New Roman" w:cs="Times New Roman"/>
          <w:sz w:val="24"/>
          <w:szCs w:val="24"/>
        </w:rPr>
      </w:pPr>
    </w:p>
    <w:p w:rsidR="001A5AC3" w:rsidRDefault="001A5AC3" w:rsidP="009E785D">
      <w:pPr>
        <w:spacing w:after="0" w:line="480" w:lineRule="auto"/>
        <w:ind w:firstLine="720"/>
        <w:jc w:val="center"/>
        <w:rPr>
          <w:rFonts w:ascii="Times New Roman" w:hAnsi="Times New Roman" w:cs="Times New Roman"/>
          <w:sz w:val="24"/>
          <w:szCs w:val="24"/>
        </w:rPr>
      </w:pPr>
    </w:p>
    <w:p w:rsidR="001A5AC3" w:rsidRDefault="001A5AC3" w:rsidP="009E785D">
      <w:pPr>
        <w:spacing w:after="0" w:line="480" w:lineRule="auto"/>
        <w:ind w:firstLine="720"/>
        <w:jc w:val="center"/>
        <w:rPr>
          <w:rFonts w:ascii="Times New Roman" w:hAnsi="Times New Roman" w:cs="Times New Roman"/>
          <w:sz w:val="24"/>
          <w:szCs w:val="24"/>
        </w:rPr>
      </w:pPr>
    </w:p>
    <w:p w:rsidR="001A5AC3" w:rsidRDefault="001A5AC3" w:rsidP="009E785D">
      <w:pPr>
        <w:spacing w:after="0" w:line="480" w:lineRule="auto"/>
        <w:ind w:firstLine="720"/>
        <w:jc w:val="center"/>
        <w:rPr>
          <w:rFonts w:ascii="Times New Roman" w:hAnsi="Times New Roman" w:cs="Times New Roman"/>
          <w:sz w:val="24"/>
          <w:szCs w:val="24"/>
        </w:rPr>
      </w:pPr>
    </w:p>
    <w:p w:rsidR="001A5AC3" w:rsidRDefault="001A5AC3" w:rsidP="009E785D">
      <w:pPr>
        <w:spacing w:after="0" w:line="480" w:lineRule="auto"/>
        <w:ind w:firstLine="720"/>
        <w:jc w:val="center"/>
        <w:rPr>
          <w:rFonts w:ascii="Times New Roman" w:hAnsi="Times New Roman" w:cs="Times New Roman"/>
          <w:sz w:val="24"/>
          <w:szCs w:val="24"/>
        </w:rPr>
      </w:pPr>
    </w:p>
    <w:p w:rsidR="001A5AC3" w:rsidRDefault="001A5AC3" w:rsidP="009E785D">
      <w:pPr>
        <w:spacing w:after="0" w:line="480" w:lineRule="auto"/>
        <w:ind w:firstLine="720"/>
        <w:jc w:val="center"/>
        <w:rPr>
          <w:rFonts w:ascii="Times New Roman" w:hAnsi="Times New Roman" w:cs="Times New Roman"/>
          <w:sz w:val="24"/>
          <w:szCs w:val="24"/>
        </w:rPr>
      </w:pPr>
    </w:p>
    <w:p w:rsidR="00B8507C" w:rsidRDefault="00B8507C">
      <w:pPr>
        <w:rPr>
          <w:rFonts w:ascii="Times New Roman" w:hAnsi="Times New Roman" w:cs="Times New Roman"/>
          <w:sz w:val="24"/>
          <w:szCs w:val="24"/>
        </w:rPr>
      </w:pPr>
      <w:r>
        <w:rPr>
          <w:rFonts w:ascii="Times New Roman" w:hAnsi="Times New Roman" w:cs="Times New Roman"/>
          <w:sz w:val="24"/>
          <w:szCs w:val="24"/>
        </w:rPr>
        <w:br w:type="page"/>
      </w:r>
    </w:p>
    <w:p w:rsidR="0019034F" w:rsidRPr="008907FE" w:rsidRDefault="001A5AC3" w:rsidP="009E785D">
      <w:pPr>
        <w:spacing w:after="0" w:line="480" w:lineRule="auto"/>
        <w:ind w:firstLine="720"/>
        <w:jc w:val="center"/>
        <w:rPr>
          <w:rFonts w:ascii="Times New Roman" w:hAnsi="Times New Roman" w:cs="Times New Roman"/>
          <w:sz w:val="24"/>
          <w:szCs w:val="24"/>
        </w:rPr>
      </w:pPr>
      <w:bookmarkStart w:id="0" w:name="_GoBack"/>
      <w:bookmarkEnd w:id="0"/>
      <w:r>
        <w:rPr>
          <w:rFonts w:ascii="Times New Roman" w:hAnsi="Times New Roman" w:cs="Times New Roman"/>
          <w:sz w:val="24"/>
          <w:szCs w:val="24"/>
        </w:rPr>
        <w:t>References</w:t>
      </w:r>
    </w:p>
    <w:p w:rsidR="008907FE" w:rsidRPr="008907FE" w:rsidRDefault="008907FE" w:rsidP="009E785D">
      <w:pPr>
        <w:spacing w:after="0" w:line="480" w:lineRule="auto"/>
        <w:ind w:left="720" w:hanging="720"/>
        <w:rPr>
          <w:rFonts w:ascii="Times New Roman" w:hAnsi="Times New Roman" w:cs="Times New Roman"/>
          <w:sz w:val="24"/>
          <w:szCs w:val="24"/>
        </w:rPr>
      </w:pPr>
      <w:r w:rsidRPr="008907FE">
        <w:rPr>
          <w:rFonts w:ascii="Times New Roman" w:hAnsi="Times New Roman" w:cs="Times New Roman"/>
          <w:sz w:val="24"/>
          <w:szCs w:val="24"/>
        </w:rPr>
        <w:t xml:space="preserve"> </w:t>
      </w:r>
      <w:r w:rsidRPr="008907FE">
        <w:rPr>
          <w:rFonts w:ascii="Times New Roman" w:hAnsi="Times New Roman" w:cs="Times New Roman"/>
          <w:color w:val="222222"/>
          <w:sz w:val="24"/>
          <w:szCs w:val="24"/>
          <w:shd w:val="clear" w:color="auto" w:fill="FFFFFF"/>
        </w:rPr>
        <w:t>Harawa, N. T., Amani, B., Bowers, J. R., Sayles, J. N., &amp; Cunningham, W. (2017). Understanding interactions of formerly incarcerated HIV-positive men and transgender women with substance use treatment, medical, and criminal justice systems. </w:t>
      </w:r>
      <w:r w:rsidRPr="008907FE">
        <w:rPr>
          <w:rFonts w:ascii="Times New Roman" w:hAnsi="Times New Roman" w:cs="Times New Roman"/>
          <w:i/>
          <w:iCs/>
          <w:color w:val="222222"/>
          <w:sz w:val="24"/>
          <w:szCs w:val="24"/>
          <w:shd w:val="clear" w:color="auto" w:fill="FFFFFF"/>
        </w:rPr>
        <w:t>International Journal of Drug Policy</w:t>
      </w:r>
      <w:r w:rsidRPr="008907FE">
        <w:rPr>
          <w:rFonts w:ascii="Times New Roman" w:hAnsi="Times New Roman" w:cs="Times New Roman"/>
          <w:color w:val="222222"/>
          <w:sz w:val="24"/>
          <w:szCs w:val="24"/>
          <w:shd w:val="clear" w:color="auto" w:fill="FFFFFF"/>
        </w:rPr>
        <w:t>, </w:t>
      </w:r>
      <w:r w:rsidRPr="008907FE">
        <w:rPr>
          <w:rFonts w:ascii="Times New Roman" w:hAnsi="Times New Roman" w:cs="Times New Roman"/>
          <w:i/>
          <w:iCs/>
          <w:color w:val="222222"/>
          <w:sz w:val="24"/>
          <w:szCs w:val="24"/>
          <w:shd w:val="clear" w:color="auto" w:fill="FFFFFF"/>
        </w:rPr>
        <w:t>48</w:t>
      </w:r>
      <w:r w:rsidRPr="008907FE">
        <w:rPr>
          <w:rFonts w:ascii="Times New Roman" w:hAnsi="Times New Roman" w:cs="Times New Roman"/>
          <w:color w:val="222222"/>
          <w:sz w:val="24"/>
          <w:szCs w:val="24"/>
          <w:shd w:val="clear" w:color="auto" w:fill="FFFFFF"/>
        </w:rPr>
        <w:t>, 63-71.</w:t>
      </w:r>
      <w:r w:rsidRPr="008907FE">
        <w:rPr>
          <w:rFonts w:ascii="Times New Roman" w:hAnsi="Times New Roman" w:cs="Times New Roman"/>
          <w:sz w:val="24"/>
          <w:szCs w:val="24"/>
        </w:rPr>
        <w:t xml:space="preserve">                                </w:t>
      </w:r>
    </w:p>
    <w:p w:rsidR="008907FE" w:rsidRPr="008907FE" w:rsidRDefault="008907FE" w:rsidP="009E785D">
      <w:pPr>
        <w:spacing w:after="0" w:line="480" w:lineRule="auto"/>
        <w:ind w:left="720" w:hanging="720"/>
        <w:rPr>
          <w:rFonts w:ascii="Times New Roman" w:hAnsi="Times New Roman" w:cs="Times New Roman"/>
          <w:color w:val="222222"/>
          <w:sz w:val="24"/>
          <w:szCs w:val="24"/>
          <w:shd w:val="clear" w:color="auto" w:fill="FFFFFF"/>
        </w:rPr>
      </w:pPr>
      <w:r w:rsidRPr="008907FE">
        <w:rPr>
          <w:rFonts w:ascii="Times New Roman" w:hAnsi="Times New Roman" w:cs="Times New Roman"/>
          <w:color w:val="222222"/>
          <w:sz w:val="24"/>
          <w:szCs w:val="24"/>
          <w:shd w:val="clear" w:color="auto" w:fill="FFFFFF"/>
        </w:rPr>
        <w:t>Pound, R. (2018). </w:t>
      </w:r>
      <w:r w:rsidRPr="008907FE">
        <w:rPr>
          <w:rFonts w:ascii="Times New Roman" w:hAnsi="Times New Roman" w:cs="Times New Roman"/>
          <w:i/>
          <w:iCs/>
          <w:color w:val="222222"/>
          <w:sz w:val="24"/>
          <w:szCs w:val="24"/>
          <w:shd w:val="clear" w:color="auto" w:fill="FFFFFF"/>
        </w:rPr>
        <w:t>Criminal justice in America</w:t>
      </w:r>
      <w:r w:rsidRPr="008907FE">
        <w:rPr>
          <w:rFonts w:ascii="Times New Roman" w:hAnsi="Times New Roman" w:cs="Times New Roman"/>
          <w:color w:val="222222"/>
          <w:sz w:val="24"/>
          <w:szCs w:val="24"/>
          <w:shd w:val="clear" w:color="auto" w:fill="FFFFFF"/>
        </w:rPr>
        <w:t>. Routledge.</w:t>
      </w:r>
    </w:p>
    <w:sectPr w:rsidR="008907FE" w:rsidRPr="008907FE" w:rsidSect="00FF01E3">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A640A" w:rsidRDefault="00FA640A" w:rsidP="00FF01E3">
      <w:pPr>
        <w:spacing w:after="0" w:line="240" w:lineRule="auto"/>
      </w:pPr>
      <w:r>
        <w:separator/>
      </w:r>
    </w:p>
  </w:endnote>
  <w:endnote w:type="continuationSeparator" w:id="0">
    <w:p w:rsidR="00FA640A" w:rsidRDefault="00FA640A" w:rsidP="00FF01E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A640A" w:rsidRDefault="00FA640A" w:rsidP="00FF01E3">
      <w:pPr>
        <w:spacing w:after="0" w:line="240" w:lineRule="auto"/>
      </w:pPr>
      <w:r>
        <w:separator/>
      </w:r>
    </w:p>
  </w:footnote>
  <w:footnote w:type="continuationSeparator" w:id="0">
    <w:p w:rsidR="00FA640A" w:rsidRDefault="00FA640A" w:rsidP="00FF01E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2559525"/>
      <w:docPartObj>
        <w:docPartGallery w:val="Page Numbers (Top of Page)"/>
        <w:docPartUnique/>
      </w:docPartObj>
    </w:sdtPr>
    <w:sdtEndPr/>
    <w:sdtContent>
      <w:p w:rsidR="00FF01E3" w:rsidRPr="00FF01E3" w:rsidRDefault="00FF01E3" w:rsidP="00FF01E3">
        <w:pPr>
          <w:pStyle w:val="Header"/>
          <w:rPr>
            <w:rFonts w:ascii="Times New Roman" w:hAnsi="Times New Roman" w:cs="Times New Roman"/>
            <w:sz w:val="24"/>
            <w:szCs w:val="24"/>
          </w:rPr>
        </w:pPr>
        <w:r w:rsidRPr="00FF01E3">
          <w:rPr>
            <w:rFonts w:ascii="Times New Roman" w:hAnsi="Times New Roman" w:cs="Times New Roman"/>
            <w:sz w:val="24"/>
            <w:szCs w:val="24"/>
          </w:rPr>
          <w:t xml:space="preserve">CRIMINAL JUSTICE AGENCIES AND TRANSGENDER                               </w:t>
        </w:r>
        <w:r w:rsidRPr="00FF01E3">
          <w:rPr>
            <w:rFonts w:ascii="Times New Roman" w:hAnsi="Times New Roman" w:cs="Times New Roman"/>
            <w:sz w:val="24"/>
            <w:szCs w:val="24"/>
          </w:rPr>
          <w:fldChar w:fldCharType="begin"/>
        </w:r>
        <w:r w:rsidRPr="00FF01E3">
          <w:rPr>
            <w:rFonts w:ascii="Times New Roman" w:hAnsi="Times New Roman" w:cs="Times New Roman"/>
            <w:sz w:val="24"/>
            <w:szCs w:val="24"/>
          </w:rPr>
          <w:instrText xml:space="preserve"> PAGE   \* MERGEFORMAT </w:instrText>
        </w:r>
        <w:r w:rsidRPr="00FF01E3">
          <w:rPr>
            <w:rFonts w:ascii="Times New Roman" w:hAnsi="Times New Roman" w:cs="Times New Roman"/>
            <w:sz w:val="24"/>
            <w:szCs w:val="24"/>
          </w:rPr>
          <w:fldChar w:fldCharType="separate"/>
        </w:r>
        <w:r w:rsidR="00920483">
          <w:rPr>
            <w:rFonts w:ascii="Times New Roman" w:hAnsi="Times New Roman" w:cs="Times New Roman"/>
            <w:noProof/>
            <w:sz w:val="24"/>
            <w:szCs w:val="24"/>
          </w:rPr>
          <w:t>3</w:t>
        </w:r>
        <w:r w:rsidRPr="00FF01E3">
          <w:rPr>
            <w:rFonts w:ascii="Times New Roman" w:hAnsi="Times New Roman" w:cs="Times New Roman"/>
            <w:sz w:val="24"/>
            <w:szCs w:val="24"/>
          </w:rPr>
          <w:fldChar w:fldCharType="end"/>
        </w:r>
      </w:p>
    </w:sdtContent>
  </w:sdt>
  <w:p w:rsidR="00FF01E3" w:rsidRDefault="00FF01E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F01E3" w:rsidRPr="00FF01E3" w:rsidRDefault="00FF01E3">
    <w:pPr>
      <w:pStyle w:val="Header"/>
      <w:rPr>
        <w:rFonts w:ascii="Times New Roman" w:hAnsi="Times New Roman" w:cs="Times New Roman"/>
        <w:sz w:val="24"/>
        <w:szCs w:val="24"/>
      </w:rPr>
    </w:pPr>
    <w:r w:rsidRPr="00FF01E3">
      <w:rPr>
        <w:rFonts w:ascii="Times New Roman" w:hAnsi="Times New Roman" w:cs="Times New Roman"/>
        <w:sz w:val="24"/>
        <w:szCs w:val="24"/>
      </w:rPr>
      <w:t>Running Head: CRIMINAL JUSTICE AGENCIES AND TRANSGENDER</w:t>
    </w:r>
    <w:r>
      <w:rPr>
        <w:rFonts w:ascii="Times New Roman" w:hAnsi="Times New Roman" w:cs="Times New Roman"/>
        <w:sz w:val="24"/>
        <w:szCs w:val="24"/>
      </w:rPr>
      <w:t xml:space="preserve">                               </w:t>
    </w:r>
    <w:r w:rsidRPr="00FF01E3">
      <w:rPr>
        <w:rFonts w:ascii="Times New Roman" w:hAnsi="Times New Roman" w:cs="Times New Roman"/>
        <w:sz w:val="24"/>
        <w:szCs w:val="24"/>
      </w:rPr>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10"/>
  <w:displayHorizontalDrawingGridEvery w:val="2"/>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3385E"/>
    <w:rsid w:val="000418E3"/>
    <w:rsid w:val="000663A2"/>
    <w:rsid w:val="00070E5E"/>
    <w:rsid w:val="000F2509"/>
    <w:rsid w:val="00136319"/>
    <w:rsid w:val="00175681"/>
    <w:rsid w:val="0019034F"/>
    <w:rsid w:val="001A36A1"/>
    <w:rsid w:val="001A5AC3"/>
    <w:rsid w:val="001B69AD"/>
    <w:rsid w:val="001C3095"/>
    <w:rsid w:val="001C3869"/>
    <w:rsid w:val="001F731E"/>
    <w:rsid w:val="003A3BDF"/>
    <w:rsid w:val="003E0CC5"/>
    <w:rsid w:val="00474AE8"/>
    <w:rsid w:val="00492AB2"/>
    <w:rsid w:val="004945A3"/>
    <w:rsid w:val="004D7BC7"/>
    <w:rsid w:val="00506AA3"/>
    <w:rsid w:val="00522D05"/>
    <w:rsid w:val="005502D8"/>
    <w:rsid w:val="006E1711"/>
    <w:rsid w:val="008017F7"/>
    <w:rsid w:val="008907FE"/>
    <w:rsid w:val="00920483"/>
    <w:rsid w:val="00935948"/>
    <w:rsid w:val="009A3722"/>
    <w:rsid w:val="009B7C01"/>
    <w:rsid w:val="009E785D"/>
    <w:rsid w:val="00A3385E"/>
    <w:rsid w:val="00AC0C16"/>
    <w:rsid w:val="00B13884"/>
    <w:rsid w:val="00B60C55"/>
    <w:rsid w:val="00B8507C"/>
    <w:rsid w:val="00BB654A"/>
    <w:rsid w:val="00BC58ED"/>
    <w:rsid w:val="00CB412F"/>
    <w:rsid w:val="00D54525"/>
    <w:rsid w:val="00DD1B27"/>
    <w:rsid w:val="00EB0E12"/>
    <w:rsid w:val="00EB62B3"/>
    <w:rsid w:val="00FA640A"/>
    <w:rsid w:val="00FF01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D31B837-847F-434E-B9AF-8D9901E422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70E5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F01E3"/>
    <w:pPr>
      <w:tabs>
        <w:tab w:val="center" w:pos="4680"/>
        <w:tab w:val="right" w:pos="9360"/>
      </w:tabs>
      <w:spacing w:after="0" w:line="240" w:lineRule="auto"/>
    </w:pPr>
  </w:style>
  <w:style w:type="character" w:customStyle="1" w:styleId="HeaderChar">
    <w:name w:val="Header Char"/>
    <w:basedOn w:val="DefaultParagraphFont"/>
    <w:link w:val="Header"/>
    <w:uiPriority w:val="99"/>
    <w:rsid w:val="00FF01E3"/>
  </w:style>
  <w:style w:type="paragraph" w:styleId="Footer">
    <w:name w:val="footer"/>
    <w:basedOn w:val="Normal"/>
    <w:link w:val="FooterChar"/>
    <w:uiPriority w:val="99"/>
    <w:semiHidden/>
    <w:unhideWhenUsed/>
    <w:rsid w:val="00FF01E3"/>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FF01E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730</Words>
  <Characters>4165</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hp15</cp:lastModifiedBy>
  <cp:revision>2</cp:revision>
  <dcterms:created xsi:type="dcterms:W3CDTF">2019-04-24T16:14:00Z</dcterms:created>
  <dcterms:modified xsi:type="dcterms:W3CDTF">2019-04-24T16:14:00Z</dcterms:modified>
</cp:coreProperties>
</file>